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36" w:rsidRPr="00A43A36" w:rsidRDefault="00A43A36" w:rsidP="00A43A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43A36">
        <w:rPr>
          <w:rFonts w:ascii="Arial" w:hAnsi="Arial" w:cs="Arial"/>
          <w:b/>
          <w:sz w:val="24"/>
          <w:szCs w:val="24"/>
        </w:rPr>
        <w:t>Seuster</w:t>
      </w:r>
      <w:proofErr w:type="spellEnd"/>
      <w:r w:rsidRPr="00A43A36">
        <w:rPr>
          <w:rFonts w:ascii="Arial" w:hAnsi="Arial" w:cs="Arial"/>
          <w:b/>
          <w:sz w:val="24"/>
          <w:szCs w:val="24"/>
        </w:rPr>
        <w:t xml:space="preserve"> Schnelllauftor Iso Speed </w:t>
      </w:r>
      <w:proofErr w:type="spellStart"/>
      <w:r w:rsidRPr="00A43A36">
        <w:rPr>
          <w:rFonts w:ascii="Arial" w:hAnsi="Arial" w:cs="Arial"/>
          <w:b/>
          <w:sz w:val="24"/>
          <w:szCs w:val="24"/>
        </w:rPr>
        <w:t>Cold</w:t>
      </w:r>
      <w:proofErr w:type="spellEnd"/>
      <w:r w:rsidRPr="00A43A36">
        <w:rPr>
          <w:rFonts w:ascii="Arial" w:hAnsi="Arial" w:cs="Arial"/>
          <w:b/>
          <w:sz w:val="24"/>
          <w:szCs w:val="24"/>
        </w:rPr>
        <w:t xml:space="preserve"> H 100</w:t>
      </w:r>
    </w:p>
    <w:p w:rsidR="00A43A36" w:rsidRPr="00A43A36" w:rsidRDefault="00A43A36" w:rsidP="00A43A3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43A36">
        <w:rPr>
          <w:rFonts w:ascii="Arial" w:hAnsi="Arial" w:cs="Arial"/>
          <w:i/>
          <w:sz w:val="20"/>
          <w:szCs w:val="20"/>
        </w:rPr>
        <w:t>Energiespartor mit festem Torbehang als Abschluss für Kühl- und Tiefkühlbereiche</w:t>
      </w:r>
    </w:p>
    <w:p w:rsidR="00A43A36" w:rsidRPr="00A43A36" w:rsidRDefault="00A43A36" w:rsidP="00A43A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7BE2" w:rsidRPr="003026F0" w:rsidRDefault="00591865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865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 wp14:anchorId="0258244B" wp14:editId="0A74FD28">
            <wp:simplePos x="0" y="0"/>
            <wp:positionH relativeFrom="column">
              <wp:posOffset>4004945</wp:posOffset>
            </wp:positionH>
            <wp:positionV relativeFrom="paragraph">
              <wp:posOffset>108585</wp:posOffset>
            </wp:positionV>
            <wp:extent cx="1725295" cy="1529715"/>
            <wp:effectExtent l="0" t="0" r="8255" b="0"/>
            <wp:wrapNone/>
            <wp:docPr id="3" name="Grafik 3" descr="I:\Archiv\Abteilungen\Vertrieb\Arndt\DatenWS74\Eigene Dateien\MARKETING\BilderVideo\Bilder\Beschläge\H-Besch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Archiv\Abteilungen\Vertrieb\Arndt\DatenWS74\Eigene Dateien\MARKETING\BilderVideo\Bilder\Beschläge\H-Beschla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BE2" w:rsidRPr="003026F0">
        <w:rPr>
          <w:rFonts w:ascii="Arial" w:hAnsi="Arial" w:cs="Arial"/>
          <w:b/>
          <w:sz w:val="20"/>
          <w:szCs w:val="20"/>
        </w:rPr>
        <w:t>Lichte Maße</w:t>
      </w: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5000 x 5000 mm</w:t>
      </w: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</w:t>
      </w:r>
      <w:r w:rsidR="00D1009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Pr="00A43A36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3A36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6D7BE2" w:rsidRPr="00A43A36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A36">
        <w:rPr>
          <w:rFonts w:ascii="Arial" w:hAnsi="Arial" w:cs="Arial"/>
          <w:sz w:val="20"/>
          <w:szCs w:val="20"/>
        </w:rPr>
        <w:t>Öffnen:</w:t>
      </w:r>
      <w:r w:rsidRPr="00A43A36">
        <w:rPr>
          <w:rFonts w:ascii="Arial" w:hAnsi="Arial" w:cs="Arial"/>
          <w:sz w:val="20"/>
          <w:szCs w:val="20"/>
        </w:rPr>
        <w:tab/>
      </w:r>
      <w:r w:rsidRPr="00A43A36">
        <w:rPr>
          <w:rFonts w:ascii="Arial" w:hAnsi="Arial" w:cs="Arial"/>
          <w:sz w:val="20"/>
          <w:szCs w:val="20"/>
        </w:rPr>
        <w:tab/>
        <w:t>ca. 2,0 m/s*</w:t>
      </w:r>
    </w:p>
    <w:p w:rsidR="006D7BE2" w:rsidRPr="00A43A36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A36">
        <w:rPr>
          <w:rFonts w:ascii="Arial" w:hAnsi="Arial" w:cs="Arial"/>
          <w:sz w:val="20"/>
          <w:szCs w:val="20"/>
        </w:rPr>
        <w:t>Schließen:</w:t>
      </w:r>
      <w:r w:rsidRPr="00A43A36">
        <w:rPr>
          <w:rFonts w:ascii="Arial" w:hAnsi="Arial" w:cs="Arial"/>
          <w:sz w:val="20"/>
          <w:szCs w:val="20"/>
        </w:rPr>
        <w:tab/>
        <w:t>ca. 0,5 m/s</w:t>
      </w:r>
    </w:p>
    <w:p w:rsidR="006D7BE2" w:rsidRPr="00A43A36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Pr="00A43A36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3A36">
        <w:rPr>
          <w:rFonts w:ascii="Arial" w:hAnsi="Arial" w:cs="Arial"/>
          <w:b/>
          <w:sz w:val="20"/>
          <w:szCs w:val="20"/>
        </w:rPr>
        <w:t>Wärmedämmung</w:t>
      </w:r>
    </w:p>
    <w:p w:rsidR="006D7BE2" w:rsidRPr="00A43A36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A36">
        <w:rPr>
          <w:rFonts w:ascii="Arial" w:hAnsi="Arial" w:cs="Arial"/>
          <w:sz w:val="20"/>
          <w:szCs w:val="20"/>
        </w:rPr>
        <w:t>Wärmedämmung nach DIN EN 12428 U</w:t>
      </w:r>
      <w:r w:rsidRPr="00A43A36">
        <w:rPr>
          <w:rFonts w:ascii="Arial" w:hAnsi="Arial" w:cs="Arial"/>
          <w:sz w:val="20"/>
          <w:szCs w:val="20"/>
          <w:vertAlign w:val="subscript"/>
        </w:rPr>
        <w:t>d</w:t>
      </w:r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43A3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A43A36">
        <w:rPr>
          <w:rFonts w:ascii="Arial" w:hAnsi="Arial" w:cs="Arial"/>
          <w:sz w:val="20"/>
          <w:szCs w:val="20"/>
        </w:rPr>
        <w:t xml:space="preserve">0,57 W/(m²K)** </w:t>
      </w:r>
    </w:p>
    <w:p w:rsidR="006D7BE2" w:rsidRDefault="006D7BE2" w:rsidP="006D7BE2">
      <w:pPr>
        <w:spacing w:after="0" w:line="240" w:lineRule="auto"/>
      </w:pPr>
    </w:p>
    <w:p w:rsidR="006D7BE2" w:rsidRPr="001F2957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2957">
        <w:rPr>
          <w:rFonts w:ascii="Arial" w:hAnsi="Arial" w:cs="Arial"/>
          <w:b/>
          <w:sz w:val="20"/>
          <w:szCs w:val="20"/>
        </w:rPr>
        <w:t>Sicherheitseinrichtungen</w:t>
      </w:r>
    </w:p>
    <w:p w:rsidR="006D7BE2" w:rsidRPr="001F2957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957">
        <w:rPr>
          <w:rFonts w:ascii="Arial" w:hAnsi="Arial" w:cs="Arial"/>
          <w:sz w:val="20"/>
          <w:szCs w:val="20"/>
        </w:rPr>
        <w:t xml:space="preserve">Lichtgitter in Ausführung IP 67  in den Torseitenteilen zur berührungslosen Absicherung  der Torschließebene bis zu einer Höhe von 2500 mm. </w:t>
      </w:r>
    </w:p>
    <w:p w:rsidR="006D7BE2" w:rsidRDefault="006D7BE2" w:rsidP="006D7BE2">
      <w:pPr>
        <w:spacing w:after="0" w:line="240" w:lineRule="auto"/>
      </w:pPr>
    </w:p>
    <w:p w:rsidR="006D7BE2" w:rsidRDefault="006D7BE2" w:rsidP="006D7B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6D7BE2" w:rsidRDefault="006D7BE2" w:rsidP="006D7BE2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Stabile, thermisch getrennte,</w:t>
      </w:r>
      <w:r w:rsidRPr="006C537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100 mm starke, gleichmäßig PU ausgeschäumte und feuerverzinkte Stahllamellen für erstklassige Isolationswerte in neutralem Design, grauweiße Beschichtung RAL 9002, </w:t>
      </w:r>
      <w:proofErr w:type="spellStart"/>
      <w:r>
        <w:rPr>
          <w:rFonts w:ascii="Arial" w:hAnsi="Arial" w:cs="Arial"/>
          <w:sz w:val="20"/>
          <w:szCs w:val="20"/>
        </w:rPr>
        <w:t>Stucco</w:t>
      </w:r>
      <w:proofErr w:type="spellEnd"/>
      <w:r>
        <w:rPr>
          <w:rFonts w:ascii="Arial" w:hAnsi="Arial" w:cs="Arial"/>
          <w:sz w:val="20"/>
          <w:szCs w:val="20"/>
        </w:rPr>
        <w:t xml:space="preserve"> geprägt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Zusätzliche Dichtungen zwischen den einzelnen Sektionen unterstützen eine optimale Abdichtung, um Temperaturverluste im geschlossenen Zustand zu minimieren.  </w:t>
      </w:r>
    </w:p>
    <w:p w:rsidR="006D7BE2" w:rsidRPr="00CE404D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Pr="005C67CE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67CE">
        <w:rPr>
          <w:rFonts w:ascii="Arial" w:hAnsi="Arial" w:cs="Arial"/>
          <w:b/>
          <w:sz w:val="20"/>
          <w:szCs w:val="20"/>
        </w:rPr>
        <w:t>Konstruktion</w:t>
      </w:r>
    </w:p>
    <w:p w:rsidR="006D7BE2" w:rsidRPr="005C67CE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7CE">
        <w:rPr>
          <w:rFonts w:ascii="Arial" w:hAnsi="Arial" w:cs="Arial"/>
          <w:sz w:val="20"/>
          <w:szCs w:val="20"/>
        </w:rPr>
        <w:t xml:space="preserve">Mehrteilige Seitenteile aus gekantetem, verzinktem Stahl und integrierten Laufschienen. Zur Minimierung von Wärmebrücken im Standard mit komplett umlaufendem </w:t>
      </w:r>
      <w:proofErr w:type="spellStart"/>
      <w:r w:rsidRPr="005C67CE">
        <w:rPr>
          <w:rFonts w:ascii="Arial" w:hAnsi="Arial" w:cs="Arial"/>
          <w:sz w:val="20"/>
          <w:szCs w:val="20"/>
        </w:rPr>
        <w:t>ThermoFrame</w:t>
      </w:r>
      <w:proofErr w:type="spellEnd"/>
      <w:r w:rsidRPr="005C67CE">
        <w:rPr>
          <w:rFonts w:ascii="Arial" w:hAnsi="Arial" w:cs="Arial"/>
          <w:sz w:val="20"/>
          <w:szCs w:val="20"/>
        </w:rPr>
        <w:t xml:space="preserve"> als thermische Trennung zwischen Baukörper und Torseitenteilen. </w:t>
      </w:r>
    </w:p>
    <w:p w:rsidR="006D7BE2" w:rsidRPr="005C67CE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7CE">
        <w:rPr>
          <w:rFonts w:ascii="Arial" w:hAnsi="Arial" w:cs="Arial"/>
          <w:sz w:val="20"/>
          <w:szCs w:val="20"/>
        </w:rPr>
        <w:t>In den Seitenteilen sind die verschleißfreien Gegengewichte und der Zugmechanismus geschützt integriert und stellen somit den zuverlässigen und schnellen Torlauf sicher.</w:t>
      </w:r>
    </w:p>
    <w:p w:rsidR="006D7BE2" w:rsidRPr="005C67CE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Pr="005C67CE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67CE">
        <w:rPr>
          <w:rFonts w:ascii="Arial" w:hAnsi="Arial" w:cs="Arial"/>
          <w:b/>
          <w:sz w:val="20"/>
          <w:szCs w:val="20"/>
        </w:rPr>
        <w:t>Heizung (optional)</w:t>
      </w:r>
    </w:p>
    <w:p w:rsidR="006D7BE2" w:rsidRPr="005C67CE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7CE">
        <w:rPr>
          <w:rFonts w:ascii="Arial" w:hAnsi="Arial" w:cs="Arial"/>
          <w:sz w:val="20"/>
          <w:szCs w:val="20"/>
        </w:rPr>
        <w:t xml:space="preserve">Für den Einsatz in Tiefkühlbereichen sind die Seitenteile inklusive der Fußplatten beheizt. Eine hervorragende Abdichtung zwischen der Kalt- und Warmseite wird durch den beheizten, umlaufenden Rahmen erreicht. Das </w:t>
      </w:r>
      <w:proofErr w:type="spellStart"/>
      <w:r w:rsidRPr="005C67CE">
        <w:rPr>
          <w:rFonts w:ascii="Arial" w:hAnsi="Arial" w:cs="Arial"/>
          <w:sz w:val="20"/>
          <w:szCs w:val="20"/>
        </w:rPr>
        <w:t>Torblatt</w:t>
      </w:r>
      <w:proofErr w:type="spellEnd"/>
      <w:r w:rsidRPr="005C67CE">
        <w:rPr>
          <w:rFonts w:ascii="Arial" w:hAnsi="Arial" w:cs="Arial"/>
          <w:sz w:val="20"/>
          <w:szCs w:val="20"/>
        </w:rPr>
        <w:t xml:space="preserve"> wird so optimal zum Baukörper abgedichtet. Die beheizte Torsteuerung im Stahlschaltschrank (IP54) sowie der ebenfalls beheizte Torantrieb, runden die Tiefkühlausführung praxisorientiert ab. </w:t>
      </w:r>
    </w:p>
    <w:p w:rsidR="006D7BE2" w:rsidRDefault="006D7BE2" w:rsidP="006D7BE2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1,5 kW, Anschlussspannung 400 </w:t>
      </w:r>
      <w:r w:rsidRPr="003026F0">
        <w:rPr>
          <w:rFonts w:ascii="Arial" w:hAnsi="Arial" w:cs="Arial"/>
          <w:sz w:val="20"/>
          <w:szCs w:val="20"/>
        </w:rPr>
        <w:t>V, 50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6D7BE2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26F0">
        <w:rPr>
          <w:rFonts w:ascii="Arial" w:hAnsi="Arial" w:cs="Arial"/>
          <w:sz w:val="20"/>
          <w:szCs w:val="20"/>
        </w:rPr>
        <w:t>rechts</w:t>
      </w:r>
      <w:proofErr w:type="gramEnd"/>
      <w:r w:rsidRPr="003026F0">
        <w:rPr>
          <w:rFonts w:ascii="Arial" w:hAnsi="Arial" w:cs="Arial"/>
          <w:sz w:val="20"/>
          <w:szCs w:val="20"/>
        </w:rPr>
        <w:t xml:space="preserve"> oder links bei Bestellung frei wählbar. </w:t>
      </w:r>
    </w:p>
    <w:p w:rsidR="006D7BE2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6D7BE2" w:rsidRPr="00114108" w:rsidRDefault="006D7BE2" w:rsidP="006D7BE2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6D7BE2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>
        <w:rPr>
          <w:rFonts w:ascii="Arial" w:hAnsi="Arial" w:cs="Arial"/>
          <w:sz w:val="20"/>
          <w:szCs w:val="20"/>
        </w:rPr>
        <w:t>Not-Handkette und Gegengewichte.</w:t>
      </w:r>
    </w:p>
    <w:p w:rsidR="006D7BE2" w:rsidRPr="003026F0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6D7BE2" w:rsidRDefault="006D7BE2" w:rsidP="006D7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7BE2" w:rsidRPr="00A43A36" w:rsidRDefault="006D7BE2" w:rsidP="006D7BE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A43A36">
        <w:rPr>
          <w:rFonts w:ascii="Arial" w:hAnsi="Arial" w:cs="Arial"/>
          <w:sz w:val="16"/>
          <w:szCs w:val="16"/>
        </w:rPr>
        <w:t>Die maximale Öffnungsgeschwindigkeit ist abhängig von der gewählten lichten Höhe.</w:t>
      </w:r>
    </w:p>
    <w:p w:rsidR="006D7BE2" w:rsidRDefault="006D7BE2" w:rsidP="006D7BE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 xml:space="preserve">** </w:t>
      </w:r>
      <w:proofErr w:type="spellStart"/>
      <w:r w:rsidRPr="00A43A36">
        <w:rPr>
          <w:rFonts w:ascii="Arial" w:hAnsi="Arial" w:cs="Arial"/>
          <w:sz w:val="16"/>
          <w:szCs w:val="16"/>
        </w:rPr>
        <w:t>Dämmwert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bezogen auf </w:t>
      </w:r>
      <w:proofErr w:type="spellStart"/>
      <w:r w:rsidRPr="00A43A36">
        <w:rPr>
          <w:rFonts w:ascii="Arial" w:hAnsi="Arial" w:cs="Arial"/>
          <w:sz w:val="16"/>
          <w:szCs w:val="16"/>
        </w:rPr>
        <w:t>Torgröße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4000 x 4000 mm</w:t>
      </w:r>
    </w:p>
    <w:p w:rsidR="002D30A4" w:rsidRDefault="002D30A4" w:rsidP="006D7BE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D30A4" w:rsidRDefault="002D30A4" w:rsidP="006D7BE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D30A4" w:rsidRDefault="002D30A4" w:rsidP="006D7BE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1865" w:rsidRDefault="00591865" w:rsidP="005918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Seuster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Schnelllauftor Iso Speed </w:t>
      </w:r>
      <w:proofErr w:type="spellStart"/>
      <w:r>
        <w:rPr>
          <w:rFonts w:ascii="Arial" w:hAnsi="Arial" w:cs="Arial"/>
          <w:b/>
          <w:sz w:val="24"/>
          <w:szCs w:val="24"/>
        </w:rPr>
        <w:t>Cold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100</w:t>
      </w:r>
    </w:p>
    <w:p w:rsidR="00591865" w:rsidRDefault="00591865" w:rsidP="005918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1865"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3B306EC6" wp14:editId="4C166F55">
            <wp:simplePos x="0" y="0"/>
            <wp:positionH relativeFrom="column">
              <wp:posOffset>4229100</wp:posOffset>
            </wp:positionH>
            <wp:positionV relativeFrom="paragraph">
              <wp:posOffset>111125</wp:posOffset>
            </wp:positionV>
            <wp:extent cx="1671873" cy="1529080"/>
            <wp:effectExtent l="0" t="0" r="5080" b="0"/>
            <wp:wrapNone/>
            <wp:docPr id="2" name="Grafik 2" descr="I:\Archiv\Abteilungen\Vertrieb\Arndt\DatenWS74\Eigene Dateien\MARKETING\BilderVideo\Bilder\Beschläge\V-Besch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rchiv\Abteilungen\Vertrieb\Arndt\DatenWS74\Eigene Dateien\MARKETING\BilderVideo\Bilder\Beschläge\V-Beschla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73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0">
        <w:rPr>
          <w:rFonts w:ascii="Arial" w:hAnsi="Arial" w:cs="Arial"/>
          <w:b/>
          <w:sz w:val="20"/>
          <w:szCs w:val="20"/>
        </w:rPr>
        <w:t>Lichte Maße</w:t>
      </w:r>
      <w:r w:rsidRPr="005918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5000 x 5000 mm</w:t>
      </w: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 w:rsidR="00D1009C">
        <w:rPr>
          <w:rFonts w:ascii="Arial" w:hAnsi="Arial" w:cs="Arial"/>
          <w:sz w:val="20"/>
          <w:szCs w:val="20"/>
        </w:rPr>
        <w:t>dlast</w:t>
      </w:r>
      <w:proofErr w:type="spellEnd"/>
      <w:r w:rsidR="00D1009C">
        <w:rPr>
          <w:rFonts w:ascii="Arial" w:hAnsi="Arial" w:cs="Arial"/>
          <w:sz w:val="20"/>
          <w:szCs w:val="20"/>
        </w:rPr>
        <w:t xml:space="preserve"> nach DIN EN 12424 Klasse 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3A36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A36">
        <w:rPr>
          <w:rFonts w:ascii="Arial" w:hAnsi="Arial" w:cs="Arial"/>
          <w:sz w:val="20"/>
          <w:szCs w:val="20"/>
        </w:rPr>
        <w:t>Öffnen:</w:t>
      </w:r>
      <w:r w:rsidRPr="00A43A36">
        <w:rPr>
          <w:rFonts w:ascii="Arial" w:hAnsi="Arial" w:cs="Arial"/>
          <w:sz w:val="20"/>
          <w:szCs w:val="20"/>
        </w:rPr>
        <w:tab/>
      </w:r>
      <w:r w:rsidRPr="00A43A36">
        <w:rPr>
          <w:rFonts w:ascii="Arial" w:hAnsi="Arial" w:cs="Arial"/>
          <w:sz w:val="20"/>
          <w:szCs w:val="20"/>
        </w:rPr>
        <w:tab/>
        <w:t>ca. 2,0 m/s*</w:t>
      </w: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A36">
        <w:rPr>
          <w:rFonts w:ascii="Arial" w:hAnsi="Arial" w:cs="Arial"/>
          <w:sz w:val="20"/>
          <w:szCs w:val="20"/>
        </w:rPr>
        <w:t>Schließen:</w:t>
      </w:r>
      <w:r w:rsidRPr="00A43A36">
        <w:rPr>
          <w:rFonts w:ascii="Arial" w:hAnsi="Arial" w:cs="Arial"/>
          <w:sz w:val="20"/>
          <w:szCs w:val="20"/>
        </w:rPr>
        <w:tab/>
        <w:t>ca. 0,5 m/s</w:t>
      </w: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3A36">
        <w:rPr>
          <w:rFonts w:ascii="Arial" w:hAnsi="Arial" w:cs="Arial"/>
          <w:b/>
          <w:sz w:val="20"/>
          <w:szCs w:val="20"/>
        </w:rPr>
        <w:t>Wärmedämmung</w:t>
      </w: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3A36">
        <w:rPr>
          <w:rFonts w:ascii="Arial" w:hAnsi="Arial" w:cs="Arial"/>
          <w:sz w:val="20"/>
          <w:szCs w:val="20"/>
        </w:rPr>
        <w:t>Wärmedämmung nach DIN EN 12428 U</w:t>
      </w:r>
      <w:r w:rsidRPr="00A43A36">
        <w:rPr>
          <w:rFonts w:ascii="Arial" w:hAnsi="Arial" w:cs="Arial"/>
          <w:sz w:val="20"/>
          <w:szCs w:val="20"/>
          <w:vertAlign w:val="subscript"/>
        </w:rPr>
        <w:t>d</w:t>
      </w:r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43A36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A43A36">
        <w:rPr>
          <w:rFonts w:ascii="Arial" w:hAnsi="Arial" w:cs="Arial"/>
          <w:sz w:val="20"/>
          <w:szCs w:val="20"/>
        </w:rPr>
        <w:t xml:space="preserve">0,57 W/(m²K)** </w:t>
      </w:r>
    </w:p>
    <w:p w:rsidR="00591865" w:rsidRDefault="00591865" w:rsidP="00591865">
      <w:pPr>
        <w:spacing w:after="0" w:line="240" w:lineRule="auto"/>
      </w:pPr>
    </w:p>
    <w:p w:rsidR="00591865" w:rsidRPr="001F2957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2957">
        <w:rPr>
          <w:rFonts w:ascii="Arial" w:hAnsi="Arial" w:cs="Arial"/>
          <w:b/>
          <w:sz w:val="20"/>
          <w:szCs w:val="20"/>
        </w:rPr>
        <w:t>Sicherheitseinrichtungen</w:t>
      </w:r>
    </w:p>
    <w:p w:rsidR="00591865" w:rsidRPr="001F2957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957">
        <w:rPr>
          <w:rFonts w:ascii="Arial" w:hAnsi="Arial" w:cs="Arial"/>
          <w:sz w:val="20"/>
          <w:szCs w:val="20"/>
        </w:rPr>
        <w:t xml:space="preserve">Lichtgitter in Ausführung IP 67  in den Torseitenteilen zur berührungslosen Absicherung  der Torschließebene bis zu einer Höhe von 2500 mm. </w:t>
      </w:r>
    </w:p>
    <w:p w:rsidR="00591865" w:rsidRDefault="00591865" w:rsidP="00591865">
      <w:pPr>
        <w:spacing w:after="0" w:line="240" w:lineRule="auto"/>
      </w:pPr>
    </w:p>
    <w:p w:rsidR="00591865" w:rsidRDefault="00591865" w:rsidP="00591865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591865" w:rsidRDefault="00591865" w:rsidP="00591865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Stabile, thermisch getrennte,</w:t>
      </w:r>
      <w:r w:rsidRPr="006C537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100 mm starke, gleichmäßig PU ausgeschäumte und feuerverzinkte Stahllamellen für erstklassige Isolationswerte in neutralem Design, grauweiße Beschichtung RAL 9002, </w:t>
      </w:r>
      <w:proofErr w:type="spellStart"/>
      <w:r>
        <w:rPr>
          <w:rFonts w:ascii="Arial" w:hAnsi="Arial" w:cs="Arial"/>
          <w:sz w:val="20"/>
          <w:szCs w:val="20"/>
        </w:rPr>
        <w:t>Stucco</w:t>
      </w:r>
      <w:proofErr w:type="spellEnd"/>
      <w:r>
        <w:rPr>
          <w:rFonts w:ascii="Arial" w:hAnsi="Arial" w:cs="Arial"/>
          <w:sz w:val="20"/>
          <w:szCs w:val="20"/>
        </w:rPr>
        <w:t xml:space="preserve"> geprägt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Zusätzliche Dichtungen zwischen den einzelnen Sektionen unterstützen eine optimale Abdichtung, um Temperaturverluste im geschlossenen Zustand zu minimieren.  </w:t>
      </w:r>
    </w:p>
    <w:p w:rsidR="00591865" w:rsidRPr="00CE404D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Pr="005C67CE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67CE">
        <w:rPr>
          <w:rFonts w:ascii="Arial" w:hAnsi="Arial" w:cs="Arial"/>
          <w:b/>
          <w:sz w:val="20"/>
          <w:szCs w:val="20"/>
        </w:rPr>
        <w:t>Konstruktion</w:t>
      </w:r>
    </w:p>
    <w:p w:rsidR="00591865" w:rsidRPr="005C67CE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7CE">
        <w:rPr>
          <w:rFonts w:ascii="Arial" w:hAnsi="Arial" w:cs="Arial"/>
          <w:sz w:val="20"/>
          <w:szCs w:val="20"/>
        </w:rPr>
        <w:t xml:space="preserve">Mehrteilige Seitenteile aus gekantetem, verzinktem Stahl und integrierten Laufschienen. Zur Minimierung von Wärmebrücken im Standard mit komplett umlaufendem </w:t>
      </w:r>
      <w:proofErr w:type="spellStart"/>
      <w:r w:rsidRPr="005C67CE">
        <w:rPr>
          <w:rFonts w:ascii="Arial" w:hAnsi="Arial" w:cs="Arial"/>
          <w:sz w:val="20"/>
          <w:szCs w:val="20"/>
        </w:rPr>
        <w:t>ThermoFrame</w:t>
      </w:r>
      <w:proofErr w:type="spellEnd"/>
      <w:r w:rsidRPr="005C67CE">
        <w:rPr>
          <w:rFonts w:ascii="Arial" w:hAnsi="Arial" w:cs="Arial"/>
          <w:sz w:val="20"/>
          <w:szCs w:val="20"/>
        </w:rPr>
        <w:t xml:space="preserve"> als thermische Trennung zwischen Baukörper und Torseitenteilen. </w:t>
      </w:r>
    </w:p>
    <w:p w:rsidR="00591865" w:rsidRPr="005C67CE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7CE">
        <w:rPr>
          <w:rFonts w:ascii="Arial" w:hAnsi="Arial" w:cs="Arial"/>
          <w:sz w:val="20"/>
          <w:szCs w:val="20"/>
        </w:rPr>
        <w:t>In den Seitenteilen sind die verschleißfreien Gegengewichte und der Zugmechanismus geschützt integriert und stellen somit den zuverlässigen und schnellen Torlauf sicher.</w:t>
      </w:r>
    </w:p>
    <w:p w:rsidR="00591865" w:rsidRPr="005C67CE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Pr="005C67CE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67CE">
        <w:rPr>
          <w:rFonts w:ascii="Arial" w:hAnsi="Arial" w:cs="Arial"/>
          <w:b/>
          <w:sz w:val="20"/>
          <w:szCs w:val="20"/>
        </w:rPr>
        <w:t>Heizung (optional)</w:t>
      </w:r>
    </w:p>
    <w:p w:rsidR="00591865" w:rsidRPr="005C67CE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67CE">
        <w:rPr>
          <w:rFonts w:ascii="Arial" w:hAnsi="Arial" w:cs="Arial"/>
          <w:sz w:val="20"/>
          <w:szCs w:val="20"/>
        </w:rPr>
        <w:t xml:space="preserve">Für den Einsatz in Tiefkühlbereichen sind die Seitenteile inklusive der Fußplatten beheizt. Eine hervorragende Abdichtung zwischen der Kalt- und Warmseite wird durch den beheizten, umlaufenden Rahmen erreicht. Das </w:t>
      </w:r>
      <w:proofErr w:type="spellStart"/>
      <w:r w:rsidRPr="005C67CE">
        <w:rPr>
          <w:rFonts w:ascii="Arial" w:hAnsi="Arial" w:cs="Arial"/>
          <w:sz w:val="20"/>
          <w:szCs w:val="20"/>
        </w:rPr>
        <w:t>Torblatt</w:t>
      </w:r>
      <w:proofErr w:type="spellEnd"/>
      <w:r w:rsidRPr="005C67CE">
        <w:rPr>
          <w:rFonts w:ascii="Arial" w:hAnsi="Arial" w:cs="Arial"/>
          <w:sz w:val="20"/>
          <w:szCs w:val="20"/>
        </w:rPr>
        <w:t xml:space="preserve"> wird so optimal zum Baukörper abgedichtet. Die beheizte Torsteuerung im Stahlschaltschrank (IP54) sowie der ebenfalls beheizte Torantrieb, runden die Tiefkühlausführung praxisorientiert ab. </w:t>
      </w:r>
    </w:p>
    <w:p w:rsidR="00591865" w:rsidRDefault="00591865" w:rsidP="00591865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1,5 kW, Anschlussspannung 400 </w:t>
      </w:r>
      <w:r w:rsidRPr="003026F0">
        <w:rPr>
          <w:rFonts w:ascii="Arial" w:hAnsi="Arial" w:cs="Arial"/>
          <w:sz w:val="20"/>
          <w:szCs w:val="20"/>
        </w:rPr>
        <w:t>V, 50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591865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26F0">
        <w:rPr>
          <w:rFonts w:ascii="Arial" w:hAnsi="Arial" w:cs="Arial"/>
          <w:sz w:val="20"/>
          <w:szCs w:val="20"/>
        </w:rPr>
        <w:t>rechts</w:t>
      </w:r>
      <w:proofErr w:type="gramEnd"/>
      <w:r w:rsidRPr="003026F0">
        <w:rPr>
          <w:rFonts w:ascii="Arial" w:hAnsi="Arial" w:cs="Arial"/>
          <w:sz w:val="20"/>
          <w:szCs w:val="20"/>
        </w:rPr>
        <w:t xml:space="preserve"> oder links bei Bestellung frei wählbar. </w:t>
      </w:r>
    </w:p>
    <w:p w:rsidR="00591865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591865" w:rsidRPr="00114108" w:rsidRDefault="00591865" w:rsidP="00591865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591865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>
        <w:rPr>
          <w:rFonts w:ascii="Arial" w:hAnsi="Arial" w:cs="Arial"/>
          <w:sz w:val="20"/>
          <w:szCs w:val="20"/>
        </w:rPr>
        <w:t>Not-Handkette und Gegengewichte.</w:t>
      </w:r>
    </w:p>
    <w:p w:rsidR="00591865" w:rsidRPr="003026F0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591865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A43A36">
        <w:rPr>
          <w:rFonts w:ascii="Arial" w:hAnsi="Arial" w:cs="Arial"/>
          <w:sz w:val="16"/>
          <w:szCs w:val="16"/>
        </w:rPr>
        <w:t>Die maximale Öffnungsgeschwindigkeit ist abhängig von der gewählten lichten Höhe.</w:t>
      </w:r>
    </w:p>
    <w:p w:rsidR="00591865" w:rsidRPr="00A43A36" w:rsidRDefault="00591865" w:rsidP="005918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 xml:space="preserve">** </w:t>
      </w:r>
      <w:proofErr w:type="spellStart"/>
      <w:r w:rsidRPr="00A43A36">
        <w:rPr>
          <w:rFonts w:ascii="Arial" w:hAnsi="Arial" w:cs="Arial"/>
          <w:sz w:val="16"/>
          <w:szCs w:val="16"/>
        </w:rPr>
        <w:t>Dämmwert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bezogen auf </w:t>
      </w:r>
      <w:proofErr w:type="spellStart"/>
      <w:r w:rsidRPr="00A43A36">
        <w:rPr>
          <w:rFonts w:ascii="Arial" w:hAnsi="Arial" w:cs="Arial"/>
          <w:sz w:val="16"/>
          <w:szCs w:val="16"/>
        </w:rPr>
        <w:t>Torgröße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4000 x 4000 mm</w:t>
      </w:r>
    </w:p>
    <w:p w:rsidR="00591865" w:rsidRPr="00CE404D" w:rsidRDefault="00591865" w:rsidP="005918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0A4" w:rsidRPr="00A43A36" w:rsidRDefault="002D30A4" w:rsidP="006D7BE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F7A52" w:rsidRPr="00A43A36" w:rsidRDefault="00FF7A52" w:rsidP="006D7BE2">
      <w:pPr>
        <w:spacing w:after="0" w:line="240" w:lineRule="auto"/>
      </w:pPr>
    </w:p>
    <w:sectPr w:rsidR="00FF7A52" w:rsidRPr="00A43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5"/>
    <w:rsid w:val="00084D27"/>
    <w:rsid w:val="000D51A5"/>
    <w:rsid w:val="00112A8F"/>
    <w:rsid w:val="001E3209"/>
    <w:rsid w:val="002949BA"/>
    <w:rsid w:val="002A5008"/>
    <w:rsid w:val="002D30A4"/>
    <w:rsid w:val="004242AB"/>
    <w:rsid w:val="00554CC8"/>
    <w:rsid w:val="00591865"/>
    <w:rsid w:val="005B2357"/>
    <w:rsid w:val="006C5375"/>
    <w:rsid w:val="006D5ACA"/>
    <w:rsid w:val="006D7BE2"/>
    <w:rsid w:val="006E44C1"/>
    <w:rsid w:val="007B7AF4"/>
    <w:rsid w:val="00A43A36"/>
    <w:rsid w:val="00AA3E78"/>
    <w:rsid w:val="00AB5C60"/>
    <w:rsid w:val="00B438D7"/>
    <w:rsid w:val="00CE404D"/>
    <w:rsid w:val="00D1009C"/>
    <w:rsid w:val="00D91EF9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559C7-02BB-46A7-BD5E-58A82607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53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3</cp:revision>
  <dcterms:created xsi:type="dcterms:W3CDTF">2017-08-23T10:39:00Z</dcterms:created>
  <dcterms:modified xsi:type="dcterms:W3CDTF">2017-10-24T13:42:00Z</dcterms:modified>
</cp:coreProperties>
</file>